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山东理工大学学生成绩记录删除申请表</w:t>
      </w:r>
    </w:p>
    <w:p>
      <w:pPr>
        <w:jc w:val="center"/>
        <w:rPr>
          <w:rFonts w:hint="eastAsia"/>
          <w:b/>
          <w:bCs/>
          <w:sz w:val="18"/>
        </w:rPr>
      </w:pPr>
    </w:p>
    <w:tbl>
      <w:tblPr>
        <w:tblStyle w:val="2"/>
        <w:tblW w:w="99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7"/>
        <w:gridCol w:w="882"/>
        <w:gridCol w:w="1078"/>
        <w:gridCol w:w="1064"/>
        <w:gridCol w:w="1554"/>
        <w:gridCol w:w="699"/>
        <w:gridCol w:w="868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6" w:hRule="atLeast"/>
          <w:jc w:val="center"/>
        </w:trPr>
        <w:tc>
          <w:tcPr>
            <w:tcW w:w="9923" w:type="dxa"/>
            <w:gridSpan w:val="8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成绩清理：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1．学生因休学或保留学籍等原因，不在校期间因课表未删除导致教师登记成绩。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2．学生因转专业等原因某些课程不再修读，但课表未删除导致教师登记成绩。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  <w:szCs w:val="21"/>
              </w:rPr>
            </w:pPr>
            <w:r>
              <w:rPr>
                <w:rFonts w:hint="eastAsia"/>
              </w:rPr>
              <w:t>3．学生因其他原因某门课确实不修读，但课表未删除导致教师登记成绩。</w:t>
            </w:r>
          </w:p>
          <w:p>
            <w:pPr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申请流程：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1．填写成绩清理申请表，由学院教学工作办公室审核。</w:t>
            </w:r>
          </w:p>
          <w:p>
            <w:pPr>
              <w:spacing w:line="480" w:lineRule="exact"/>
              <w:ind w:firstLine="420" w:firstLineChars="20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2．学院审核后交教务处教学运行中心审核存档（鸿远楼西侧309）。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申请时间</w:t>
            </w:r>
          </w:p>
        </w:tc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407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经济学院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237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407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882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学期</w:t>
            </w:r>
          </w:p>
        </w:tc>
        <w:tc>
          <w:tcPr>
            <w:tcW w:w="107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26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69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学分</w:t>
            </w:r>
          </w:p>
        </w:tc>
        <w:tc>
          <w:tcPr>
            <w:tcW w:w="868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成绩</w:t>
            </w:r>
          </w:p>
        </w:tc>
        <w:tc>
          <w:tcPr>
            <w:tcW w:w="2371" w:type="dxa"/>
            <w:tcBorders>
              <w:top w:val="nil"/>
              <w:left w:val="single" w:color="auto" w:sz="4" w:space="0"/>
              <w:bottom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清理原因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371" w:type="dxa"/>
          </w:tcPr>
          <w:p>
            <w:pPr>
              <w:bidi w:val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default"/>
                <w:sz w:val="24"/>
                <w:lang w:val="en-US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default" w:eastAsia="宋体"/>
                <w:sz w:val="24"/>
                <w:lang w:val="en-US" w:eastAsia="zh-CN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407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82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1078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618" w:type="dxa"/>
            <w:gridSpan w:val="2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699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868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  <w:tc>
          <w:tcPr>
            <w:tcW w:w="2371" w:type="dxa"/>
          </w:tcPr>
          <w:p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923" w:type="dxa"/>
            <w:gridSpan w:val="8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经审核，学生xxx在xxxx-xxxx学年第一学期因休学不在校，本次删除课程成绩XX门。（该生xxxx-xxxx学年第二学期转专业，不再修读xxxx课程。）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480" w:lineRule="exact"/>
              <w:ind w:firstLine="5642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教学工作办公室</w:t>
            </w:r>
            <w:r>
              <w:rPr>
                <w:rFonts w:hint="eastAsia"/>
                <w:sz w:val="24"/>
              </w:rPr>
              <w:t>：</w:t>
            </w:r>
          </w:p>
          <w:p>
            <w:pPr>
              <w:spacing w:line="480" w:lineRule="exact"/>
              <w:ind w:firstLine="6960" w:firstLineChars="29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  月     日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753" w:bottom="1440" w:left="175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9A725D4"/>
    <w:rsid w:val="51060C6B"/>
    <w:rsid w:val="529B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"/>
  </w:style>
  <w:style w:type="table" w:default="1" w:styleId="2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762</Characters>
  <Paragraphs>88</Paragraphs>
  <TotalTime>41</TotalTime>
  <ScaleCrop>false</ScaleCrop>
  <LinksUpToDate>false</LinksUpToDate>
  <CharactersWithSpaces>773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2020-06-09T11:52:00Z</dcterms:created>
  <dc:creator>李 晓瑞</dc:creator>
  <cp:lastModifiedBy>Elsa</cp:lastModifiedBy>
  <dcterms:modified xsi:type="dcterms:W3CDTF">2020-10-05T01:36:05Z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